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FF234" w14:textId="77777777" w:rsidR="008C39AC" w:rsidRDefault="008C39AC" w:rsidP="00D1353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6BBB970" w14:textId="77777777" w:rsidR="003D4172" w:rsidRDefault="003D4172" w:rsidP="00D1353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AC5E3F8" w14:textId="77777777" w:rsidR="00D13533" w:rsidRDefault="00D13533" w:rsidP="00D1353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B746E">
        <w:rPr>
          <w:rFonts w:ascii="Arial" w:hAnsi="Arial" w:cs="Arial"/>
          <w:b/>
          <w:sz w:val="24"/>
          <w:szCs w:val="24"/>
        </w:rPr>
        <w:t xml:space="preserve">Quagga and Zebra Mussel </w:t>
      </w:r>
      <w:r w:rsidR="00794F8D">
        <w:rPr>
          <w:rFonts w:ascii="Arial" w:hAnsi="Arial" w:cs="Arial"/>
          <w:b/>
          <w:sz w:val="24"/>
          <w:szCs w:val="24"/>
        </w:rPr>
        <w:t xml:space="preserve">Infestation Prevention </w:t>
      </w:r>
      <w:r w:rsidR="003308EA">
        <w:rPr>
          <w:rFonts w:ascii="Arial" w:hAnsi="Arial" w:cs="Arial"/>
          <w:b/>
          <w:sz w:val="24"/>
          <w:szCs w:val="24"/>
        </w:rPr>
        <w:t xml:space="preserve">Grant Program </w:t>
      </w:r>
    </w:p>
    <w:p w14:paraId="34C75253" w14:textId="77777777" w:rsidR="003D4172" w:rsidRPr="00EB746E" w:rsidRDefault="003D4172" w:rsidP="003D417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B746E">
        <w:rPr>
          <w:rFonts w:ascii="Arial" w:hAnsi="Arial" w:cs="Arial"/>
          <w:b/>
          <w:sz w:val="24"/>
          <w:szCs w:val="24"/>
        </w:rPr>
        <w:t>Aquatic Invasive Species</w:t>
      </w:r>
      <w:r>
        <w:rPr>
          <w:rFonts w:ascii="Arial" w:hAnsi="Arial" w:cs="Arial"/>
          <w:b/>
          <w:sz w:val="24"/>
          <w:szCs w:val="24"/>
        </w:rPr>
        <w:t xml:space="preserve"> Branch  </w:t>
      </w:r>
    </w:p>
    <w:p w14:paraId="5DADFA97" w14:textId="77777777" w:rsidR="00D13533" w:rsidRPr="00EB746E" w:rsidRDefault="00D13533" w:rsidP="00D1353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B746E">
        <w:rPr>
          <w:rFonts w:ascii="Arial" w:hAnsi="Arial" w:cs="Arial"/>
          <w:b/>
          <w:sz w:val="24"/>
          <w:szCs w:val="24"/>
        </w:rPr>
        <w:t>Division of Boating and Waterways</w:t>
      </w:r>
    </w:p>
    <w:p w14:paraId="767354C9" w14:textId="55A10EC5" w:rsidR="00D13533" w:rsidRPr="00EB746E" w:rsidRDefault="00BA3215" w:rsidP="00D135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14</w:t>
      </w:r>
      <w:r w:rsidR="00EB746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2020</w:t>
      </w:r>
    </w:p>
    <w:p w14:paraId="79C79458" w14:textId="77777777" w:rsidR="00ED7144" w:rsidRDefault="00ED7144" w:rsidP="00D13533">
      <w:pPr>
        <w:spacing w:after="200" w:line="276" w:lineRule="auto"/>
        <w:rPr>
          <w:rFonts w:ascii="Arial" w:hAnsi="Arial" w:cs="Arial"/>
          <w:b/>
        </w:rPr>
      </w:pPr>
    </w:p>
    <w:p w14:paraId="2E7DDAF9" w14:textId="5EF671E9" w:rsidR="004560D3" w:rsidRDefault="00794F8D" w:rsidP="00D1353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Since 2014</w:t>
      </w:r>
      <w:r w:rsidR="006B6CE2">
        <w:rPr>
          <w:rFonts w:ascii="Arial" w:hAnsi="Arial" w:cs="Arial"/>
        </w:rPr>
        <w:t xml:space="preserve">, the Division of Boating and Waterways (DBW) Quagga and Zebra Mussel (QZ) Infestation Prevention Grant Program </w:t>
      </w:r>
      <w:r>
        <w:rPr>
          <w:rFonts w:ascii="Arial" w:hAnsi="Arial" w:cs="Arial"/>
        </w:rPr>
        <w:t>provides grant funding to eligible owners or managers of reservoir</w:t>
      </w:r>
      <w:r w:rsidR="006B6CE2">
        <w:rPr>
          <w:rFonts w:ascii="Arial" w:hAnsi="Arial" w:cs="Arial"/>
        </w:rPr>
        <w:t>s,</w:t>
      </w:r>
      <w:r>
        <w:rPr>
          <w:rFonts w:ascii="Arial" w:hAnsi="Arial" w:cs="Arial"/>
        </w:rPr>
        <w:t xml:space="preserve"> </w:t>
      </w:r>
      <w:r w:rsidR="006B6CE2">
        <w:rPr>
          <w:rFonts w:ascii="Arial" w:hAnsi="Arial" w:cs="Arial"/>
        </w:rPr>
        <w:t xml:space="preserve">for prevention plans, outreach and education, </w:t>
      </w:r>
      <w:r w:rsidR="006B6CE2" w:rsidRPr="00E77ADD">
        <w:rPr>
          <w:rFonts w:ascii="Arial" w:hAnsi="Arial" w:cs="Arial"/>
        </w:rPr>
        <w:t>monitoring</w:t>
      </w:r>
      <w:r w:rsidR="006B6CE2">
        <w:rPr>
          <w:rFonts w:ascii="Arial" w:hAnsi="Arial" w:cs="Arial"/>
        </w:rPr>
        <w:t xml:space="preserve">, and management of recreational activities in an </w:t>
      </w:r>
      <w:r w:rsidR="00D13533">
        <w:rPr>
          <w:rFonts w:ascii="Arial" w:hAnsi="Arial" w:cs="Arial"/>
        </w:rPr>
        <w:t>effort to help stop the further spread of</w:t>
      </w:r>
      <w:r w:rsidR="002C7B32">
        <w:rPr>
          <w:rFonts w:ascii="Arial" w:hAnsi="Arial" w:cs="Arial"/>
        </w:rPr>
        <w:t xml:space="preserve"> </w:t>
      </w:r>
      <w:r w:rsidR="00B50BC2">
        <w:rPr>
          <w:rFonts w:ascii="Arial" w:hAnsi="Arial" w:cs="Arial"/>
        </w:rPr>
        <w:t>quagga and zebra mussels</w:t>
      </w:r>
      <w:r w:rsidR="002C7B32">
        <w:rPr>
          <w:rFonts w:ascii="Arial" w:hAnsi="Arial" w:cs="Arial"/>
        </w:rPr>
        <w:t xml:space="preserve"> </w:t>
      </w:r>
      <w:r w:rsidR="00D13533">
        <w:rPr>
          <w:rFonts w:ascii="Arial" w:hAnsi="Arial" w:cs="Arial"/>
        </w:rPr>
        <w:t>into California’s waterways</w:t>
      </w:r>
      <w:r w:rsidR="006B6CE2">
        <w:rPr>
          <w:rFonts w:ascii="Arial" w:hAnsi="Arial" w:cs="Arial"/>
        </w:rPr>
        <w:t xml:space="preserve">.  </w:t>
      </w:r>
      <w:r w:rsidR="00E32D83">
        <w:rPr>
          <w:rFonts w:ascii="Arial" w:hAnsi="Arial" w:cs="Arial"/>
        </w:rPr>
        <w:t>This program is funded</w:t>
      </w:r>
      <w:r w:rsidR="00A13094">
        <w:rPr>
          <w:rFonts w:ascii="Arial" w:hAnsi="Arial" w:cs="Arial"/>
        </w:rPr>
        <w:t xml:space="preserve"> </w:t>
      </w:r>
      <w:r w:rsidR="00E32D83">
        <w:rPr>
          <w:rFonts w:ascii="Arial" w:hAnsi="Arial" w:cs="Arial"/>
        </w:rPr>
        <w:t xml:space="preserve">from </w:t>
      </w:r>
      <w:r w:rsidR="00857C7E">
        <w:rPr>
          <w:rFonts w:ascii="Arial" w:hAnsi="Arial" w:cs="Arial"/>
        </w:rPr>
        <w:t xml:space="preserve">a fee collected by the </w:t>
      </w:r>
      <w:r w:rsidR="00E32D83">
        <w:rPr>
          <w:rFonts w:ascii="Arial" w:hAnsi="Arial" w:cs="Arial"/>
        </w:rPr>
        <w:t>Department of Motor Vehicle</w:t>
      </w:r>
      <w:r w:rsidR="00F81F9B">
        <w:rPr>
          <w:rFonts w:ascii="Arial" w:hAnsi="Arial" w:cs="Arial"/>
        </w:rPr>
        <w:t>s</w:t>
      </w:r>
      <w:r w:rsidR="00E32D83">
        <w:rPr>
          <w:rFonts w:ascii="Arial" w:hAnsi="Arial" w:cs="Arial"/>
        </w:rPr>
        <w:t xml:space="preserve"> </w:t>
      </w:r>
      <w:r w:rsidR="00857C7E">
        <w:rPr>
          <w:rFonts w:ascii="Arial" w:hAnsi="Arial" w:cs="Arial"/>
        </w:rPr>
        <w:t>biennially</w:t>
      </w:r>
      <w:r w:rsidR="00E32D83">
        <w:rPr>
          <w:rFonts w:ascii="Arial" w:hAnsi="Arial" w:cs="Arial"/>
        </w:rPr>
        <w:t xml:space="preserve"> </w:t>
      </w:r>
      <w:r w:rsidR="00857C7E">
        <w:rPr>
          <w:rFonts w:ascii="Arial" w:hAnsi="Arial" w:cs="Arial"/>
        </w:rPr>
        <w:t>in the amount</w:t>
      </w:r>
      <w:r w:rsidR="00E32D83">
        <w:rPr>
          <w:rFonts w:ascii="Arial" w:hAnsi="Arial" w:cs="Arial"/>
        </w:rPr>
        <w:t xml:space="preserve"> of $</w:t>
      </w:r>
      <w:r w:rsidR="00857C7E">
        <w:rPr>
          <w:rFonts w:ascii="Arial" w:hAnsi="Arial" w:cs="Arial"/>
        </w:rPr>
        <w:t>16</w:t>
      </w:r>
      <w:r w:rsidR="00E32D83">
        <w:rPr>
          <w:rFonts w:ascii="Arial" w:hAnsi="Arial" w:cs="Arial"/>
        </w:rPr>
        <w:t xml:space="preserve">.00 </w:t>
      </w:r>
      <w:r w:rsidR="007B51E8">
        <w:rPr>
          <w:rFonts w:ascii="Arial" w:hAnsi="Arial" w:cs="Arial"/>
        </w:rPr>
        <w:t xml:space="preserve">from </w:t>
      </w:r>
      <w:r w:rsidR="00E32D83">
        <w:rPr>
          <w:rFonts w:ascii="Arial" w:hAnsi="Arial" w:cs="Arial"/>
        </w:rPr>
        <w:t>recreational vessels operating in fresh water. These fees are transferred to the Harbor</w:t>
      </w:r>
      <w:r w:rsidR="00A36EE5">
        <w:rPr>
          <w:rFonts w:ascii="Arial" w:hAnsi="Arial" w:cs="Arial"/>
        </w:rPr>
        <w:t xml:space="preserve">s and Watercraft Revolving </w:t>
      </w:r>
      <w:r w:rsidR="00AE1AD4">
        <w:rPr>
          <w:rFonts w:ascii="Arial" w:hAnsi="Arial" w:cs="Arial"/>
        </w:rPr>
        <w:t>Fund, which</w:t>
      </w:r>
      <w:r w:rsidR="009C64C6">
        <w:rPr>
          <w:rFonts w:ascii="Arial" w:hAnsi="Arial" w:cs="Arial"/>
        </w:rPr>
        <w:t xml:space="preserve"> provides the funding for</w:t>
      </w:r>
      <w:r w:rsidR="00E32D83">
        <w:rPr>
          <w:rFonts w:ascii="Arial" w:hAnsi="Arial" w:cs="Arial"/>
        </w:rPr>
        <w:t xml:space="preserve"> </w:t>
      </w:r>
      <w:r w:rsidR="007B51E8">
        <w:rPr>
          <w:rFonts w:ascii="Arial" w:hAnsi="Arial" w:cs="Arial"/>
        </w:rPr>
        <w:t xml:space="preserve">the QZ </w:t>
      </w:r>
      <w:r w:rsidR="00625B10">
        <w:rPr>
          <w:rFonts w:ascii="Arial" w:hAnsi="Arial" w:cs="Arial"/>
        </w:rPr>
        <w:t>Grant Program</w:t>
      </w:r>
      <w:r w:rsidR="00A36EE5">
        <w:rPr>
          <w:rFonts w:ascii="Arial" w:hAnsi="Arial" w:cs="Arial"/>
        </w:rPr>
        <w:t>.</w:t>
      </w:r>
    </w:p>
    <w:p w14:paraId="034B9365" w14:textId="7BECDCC8" w:rsidR="00BA3215" w:rsidRDefault="00566952" w:rsidP="00F81F9B">
      <w:pPr>
        <w:spacing w:after="200" w:line="276" w:lineRule="auto"/>
        <w:rPr>
          <w:rFonts w:ascii="Arial" w:hAnsi="Arial" w:cs="Arial"/>
        </w:rPr>
      </w:pPr>
      <w:r w:rsidRPr="00566952">
        <w:rPr>
          <w:rFonts w:ascii="Arial" w:hAnsi="Arial" w:cs="Arial"/>
        </w:rPr>
        <w:t>E</w:t>
      </w:r>
      <w:r w:rsidR="00D7397B">
        <w:rPr>
          <w:rFonts w:ascii="Arial" w:hAnsi="Arial" w:cs="Arial"/>
        </w:rPr>
        <w:t xml:space="preserve">ligibility </w:t>
      </w:r>
      <w:r w:rsidR="00E31F59">
        <w:rPr>
          <w:rFonts w:ascii="Arial" w:hAnsi="Arial" w:cs="Arial"/>
        </w:rPr>
        <w:t xml:space="preserve">for the program </w:t>
      </w:r>
      <w:r w:rsidR="00D7397B">
        <w:rPr>
          <w:rFonts w:ascii="Arial" w:hAnsi="Arial" w:cs="Arial"/>
        </w:rPr>
        <w:t>include</w:t>
      </w:r>
      <w:r>
        <w:rPr>
          <w:rFonts w:ascii="Arial" w:hAnsi="Arial" w:cs="Arial"/>
        </w:rPr>
        <w:t>s</w:t>
      </w:r>
      <w:r w:rsidR="00D7397B">
        <w:rPr>
          <w:rFonts w:ascii="Arial" w:hAnsi="Arial" w:cs="Arial"/>
        </w:rPr>
        <w:t xml:space="preserve"> any person or entity that manages </w:t>
      </w:r>
      <w:r w:rsidR="00D7397B" w:rsidRPr="004C1782">
        <w:rPr>
          <w:rFonts w:ascii="Arial" w:hAnsi="Arial" w:cs="Arial"/>
          <w:i/>
        </w:rPr>
        <w:t>any aspect of the water</w:t>
      </w:r>
      <w:r w:rsidR="00D7397B">
        <w:rPr>
          <w:rFonts w:ascii="Arial" w:hAnsi="Arial" w:cs="Arial"/>
        </w:rPr>
        <w:t xml:space="preserve"> in a reservoir</w:t>
      </w:r>
      <w:r>
        <w:rPr>
          <w:rFonts w:ascii="Arial" w:hAnsi="Arial" w:cs="Arial"/>
        </w:rPr>
        <w:t xml:space="preserve">, </w:t>
      </w:r>
      <w:r w:rsidR="00154D1D">
        <w:rPr>
          <w:rFonts w:ascii="Arial" w:hAnsi="Arial" w:cs="Arial"/>
        </w:rPr>
        <w:t xml:space="preserve">the reservoir must be open to the public where recreational, boating, or fishing activities are permitted, and QZ mussels </w:t>
      </w:r>
      <w:r w:rsidR="00E31F59">
        <w:rPr>
          <w:rFonts w:ascii="Arial" w:hAnsi="Arial" w:cs="Arial"/>
        </w:rPr>
        <w:t>must</w:t>
      </w:r>
      <w:r w:rsidR="00154D1D">
        <w:rPr>
          <w:rFonts w:ascii="Arial" w:hAnsi="Arial" w:cs="Arial"/>
        </w:rPr>
        <w:t xml:space="preserve"> not </w:t>
      </w:r>
      <w:r w:rsidR="00E31F59">
        <w:rPr>
          <w:rFonts w:ascii="Arial" w:hAnsi="Arial" w:cs="Arial"/>
        </w:rPr>
        <w:t xml:space="preserve">be </w:t>
      </w:r>
      <w:r w:rsidR="00154D1D">
        <w:rPr>
          <w:rFonts w:ascii="Arial" w:hAnsi="Arial" w:cs="Arial"/>
        </w:rPr>
        <w:t xml:space="preserve">detected.  </w:t>
      </w:r>
      <w:r w:rsidR="009C64C6">
        <w:rPr>
          <w:rFonts w:ascii="Arial" w:hAnsi="Arial" w:cs="Arial"/>
        </w:rPr>
        <w:t xml:space="preserve">As of </w:t>
      </w:r>
      <w:r w:rsidR="00BA3215">
        <w:rPr>
          <w:rFonts w:ascii="Arial" w:hAnsi="Arial" w:cs="Arial"/>
        </w:rPr>
        <w:t>November 2019</w:t>
      </w:r>
      <w:r w:rsidR="00E720E5" w:rsidRPr="00A658DF">
        <w:rPr>
          <w:rFonts w:ascii="Arial" w:hAnsi="Arial" w:cs="Arial"/>
        </w:rPr>
        <w:t xml:space="preserve">, </w:t>
      </w:r>
      <w:r w:rsidR="00BA3215">
        <w:rPr>
          <w:rFonts w:ascii="Arial" w:hAnsi="Arial" w:cs="Arial"/>
        </w:rPr>
        <w:t>67</w:t>
      </w:r>
      <w:r w:rsidR="00154D1D" w:rsidRPr="00A658DF">
        <w:rPr>
          <w:rFonts w:ascii="Arial" w:hAnsi="Arial" w:cs="Arial"/>
        </w:rPr>
        <w:t xml:space="preserve"> </w:t>
      </w:r>
      <w:r w:rsidR="00E720E5" w:rsidRPr="00A658DF">
        <w:rPr>
          <w:rFonts w:ascii="Arial" w:hAnsi="Arial" w:cs="Arial"/>
        </w:rPr>
        <w:t>grant applications</w:t>
      </w:r>
      <w:r w:rsidR="00F81F9B">
        <w:rPr>
          <w:rFonts w:ascii="Arial" w:hAnsi="Arial" w:cs="Arial"/>
        </w:rPr>
        <w:t xml:space="preserve"> were</w:t>
      </w:r>
      <w:r w:rsidR="00794F8D">
        <w:rPr>
          <w:rFonts w:ascii="Arial" w:hAnsi="Arial" w:cs="Arial"/>
        </w:rPr>
        <w:t xml:space="preserve"> funded since the Program’s inception with </w:t>
      </w:r>
      <w:r w:rsidR="00154D1D">
        <w:rPr>
          <w:rFonts w:ascii="Arial" w:hAnsi="Arial" w:cs="Arial"/>
        </w:rPr>
        <w:t xml:space="preserve">approximately </w:t>
      </w:r>
      <w:r w:rsidR="006C16F2">
        <w:rPr>
          <w:rFonts w:ascii="Arial" w:hAnsi="Arial" w:cs="Arial"/>
        </w:rPr>
        <w:t>$</w:t>
      </w:r>
      <w:r w:rsidR="00BA3215">
        <w:rPr>
          <w:rFonts w:ascii="Arial" w:hAnsi="Arial" w:cs="Arial"/>
        </w:rPr>
        <w:t>14</w:t>
      </w:r>
      <w:r w:rsidR="00A36EE5">
        <w:rPr>
          <w:rFonts w:ascii="Arial" w:hAnsi="Arial" w:cs="Arial"/>
        </w:rPr>
        <w:t xml:space="preserve"> million awarded statewide.  The review panel </w:t>
      </w:r>
      <w:r w:rsidR="004C1782">
        <w:rPr>
          <w:rFonts w:ascii="Arial" w:hAnsi="Arial" w:cs="Arial"/>
        </w:rPr>
        <w:t xml:space="preserve">for grant awards </w:t>
      </w:r>
      <w:r w:rsidR="00A36EE5">
        <w:rPr>
          <w:rFonts w:ascii="Arial" w:hAnsi="Arial" w:cs="Arial"/>
        </w:rPr>
        <w:t>consists</w:t>
      </w:r>
      <w:r w:rsidR="00E720E5">
        <w:rPr>
          <w:rFonts w:ascii="Arial" w:hAnsi="Arial" w:cs="Arial"/>
        </w:rPr>
        <w:t xml:space="preserve"> of Division of Boating and Waterways staff</w:t>
      </w:r>
      <w:r w:rsidR="00794F8D">
        <w:rPr>
          <w:rFonts w:ascii="Arial" w:hAnsi="Arial" w:cs="Arial"/>
        </w:rPr>
        <w:t>, DBW management,</w:t>
      </w:r>
      <w:r>
        <w:rPr>
          <w:rFonts w:ascii="Arial" w:hAnsi="Arial" w:cs="Arial"/>
        </w:rPr>
        <w:t xml:space="preserve"> and eight</w:t>
      </w:r>
      <w:r w:rsidR="00E720E5">
        <w:rPr>
          <w:rFonts w:ascii="Arial" w:hAnsi="Arial" w:cs="Arial"/>
        </w:rPr>
        <w:t xml:space="preserve"> </w:t>
      </w:r>
      <w:r w:rsidR="00F81F9B">
        <w:rPr>
          <w:rFonts w:ascii="Arial" w:hAnsi="Arial" w:cs="Arial"/>
        </w:rPr>
        <w:t xml:space="preserve">California </w:t>
      </w:r>
      <w:r w:rsidR="00E720E5">
        <w:rPr>
          <w:rFonts w:ascii="Arial" w:hAnsi="Arial" w:cs="Arial"/>
        </w:rPr>
        <w:t>Department of Fish and Wildlife staff</w:t>
      </w:r>
      <w:r w:rsidR="00625B10">
        <w:rPr>
          <w:rFonts w:ascii="Arial" w:hAnsi="Arial" w:cs="Arial"/>
        </w:rPr>
        <w:t xml:space="preserve"> (</w:t>
      </w:r>
      <w:r w:rsidR="00F81F9B">
        <w:rPr>
          <w:rFonts w:ascii="Arial" w:hAnsi="Arial" w:cs="Arial"/>
        </w:rPr>
        <w:t>C</w:t>
      </w:r>
      <w:r w:rsidR="00625B10">
        <w:rPr>
          <w:rFonts w:ascii="Arial" w:hAnsi="Arial" w:cs="Arial"/>
        </w:rPr>
        <w:t>DFW)</w:t>
      </w:r>
      <w:r w:rsidR="0015570A">
        <w:rPr>
          <w:rFonts w:ascii="Arial" w:hAnsi="Arial" w:cs="Arial"/>
        </w:rPr>
        <w:t>,</w:t>
      </w:r>
      <w:r w:rsidR="00E720E5">
        <w:rPr>
          <w:rFonts w:ascii="Arial" w:hAnsi="Arial" w:cs="Arial"/>
        </w:rPr>
        <w:t xml:space="preserve"> six of which are located in various regions throughout the state.</w:t>
      </w:r>
    </w:p>
    <w:tbl>
      <w:tblPr>
        <w:tblStyle w:val="TableGrid"/>
        <w:tblW w:w="8020" w:type="dxa"/>
        <w:tblInd w:w="66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4"/>
        <w:gridCol w:w="2673"/>
        <w:gridCol w:w="2673"/>
      </w:tblGrid>
      <w:tr w:rsidR="00E7268E" w14:paraId="0F8577B3" w14:textId="77777777" w:rsidTr="001B2277">
        <w:trPr>
          <w:trHeight w:val="575"/>
        </w:trPr>
        <w:tc>
          <w:tcPr>
            <w:tcW w:w="2674" w:type="dxa"/>
          </w:tcPr>
          <w:p w14:paraId="08BD4188" w14:textId="036712CC" w:rsidR="00E7268E" w:rsidRPr="00E7268E" w:rsidRDefault="00E7268E" w:rsidP="00F81F9B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268E">
              <w:rPr>
                <w:rFonts w:ascii="Arial" w:hAnsi="Arial" w:cs="Arial"/>
                <w:b/>
                <w:sz w:val="20"/>
                <w:szCs w:val="20"/>
              </w:rPr>
              <w:t>Grant Year</w:t>
            </w:r>
          </w:p>
        </w:tc>
        <w:tc>
          <w:tcPr>
            <w:tcW w:w="2673" w:type="dxa"/>
          </w:tcPr>
          <w:p w14:paraId="5F87B879" w14:textId="7BD15564" w:rsidR="00E7268E" w:rsidRPr="00E7268E" w:rsidRDefault="00E7268E" w:rsidP="00F81F9B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Funded Applications/Projects</w:t>
            </w:r>
          </w:p>
        </w:tc>
        <w:tc>
          <w:tcPr>
            <w:tcW w:w="2673" w:type="dxa"/>
          </w:tcPr>
          <w:p w14:paraId="74BCF164" w14:textId="5E383729" w:rsidR="00E7268E" w:rsidRPr="00E7268E" w:rsidRDefault="00E7268E" w:rsidP="00F81F9B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268E">
              <w:rPr>
                <w:rFonts w:ascii="Arial" w:hAnsi="Arial" w:cs="Arial"/>
                <w:b/>
                <w:sz w:val="20"/>
                <w:szCs w:val="20"/>
              </w:rPr>
              <w:t>Amount Funded</w:t>
            </w:r>
          </w:p>
        </w:tc>
      </w:tr>
      <w:tr w:rsidR="00E7268E" w14:paraId="1573651D" w14:textId="77777777" w:rsidTr="001B2277">
        <w:trPr>
          <w:trHeight w:val="282"/>
        </w:trPr>
        <w:tc>
          <w:tcPr>
            <w:tcW w:w="2674" w:type="dxa"/>
          </w:tcPr>
          <w:p w14:paraId="0E4DD6F0" w14:textId="0A8F7FBA" w:rsidR="00E7268E" w:rsidRPr="00E7268E" w:rsidRDefault="00E7268E" w:rsidP="001232B0">
            <w:pPr>
              <w:rPr>
                <w:rFonts w:ascii="Arial" w:hAnsi="Arial" w:cs="Arial"/>
                <w:sz w:val="20"/>
                <w:szCs w:val="20"/>
              </w:rPr>
            </w:pPr>
            <w:r w:rsidRPr="00E7268E">
              <w:rPr>
                <w:rFonts w:ascii="Arial" w:hAnsi="Arial" w:cs="Arial"/>
                <w:sz w:val="20"/>
                <w:szCs w:val="20"/>
              </w:rPr>
              <w:t>2014/15</w:t>
            </w:r>
          </w:p>
        </w:tc>
        <w:tc>
          <w:tcPr>
            <w:tcW w:w="2673" w:type="dxa"/>
          </w:tcPr>
          <w:p w14:paraId="5B3B5E8C" w14:textId="15810839" w:rsidR="00E7268E" w:rsidRPr="00E7268E" w:rsidRDefault="00E7268E" w:rsidP="001232B0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E7268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73" w:type="dxa"/>
          </w:tcPr>
          <w:p w14:paraId="0FA704E4" w14:textId="1C36B584" w:rsidR="00E7268E" w:rsidRPr="00E7268E" w:rsidRDefault="00E7268E" w:rsidP="001232B0">
            <w:pPr>
              <w:rPr>
                <w:rFonts w:ascii="Arial" w:hAnsi="Arial" w:cs="Arial"/>
                <w:sz w:val="20"/>
                <w:szCs w:val="20"/>
              </w:rPr>
            </w:pPr>
            <w:r w:rsidRPr="00E7268E">
              <w:rPr>
                <w:rFonts w:ascii="Arial" w:hAnsi="Arial" w:cs="Arial"/>
                <w:sz w:val="20"/>
                <w:szCs w:val="20"/>
              </w:rPr>
              <w:t>$2,288,000.55</w:t>
            </w:r>
          </w:p>
        </w:tc>
      </w:tr>
      <w:tr w:rsidR="00E7268E" w14:paraId="4A0B0BFF" w14:textId="77777777" w:rsidTr="001232B0">
        <w:tc>
          <w:tcPr>
            <w:tcW w:w="2674" w:type="dxa"/>
          </w:tcPr>
          <w:p w14:paraId="06FACB8D" w14:textId="6A97D75E" w:rsidR="00E7268E" w:rsidRPr="00E7268E" w:rsidRDefault="00E7268E" w:rsidP="001232B0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E7268E">
              <w:rPr>
                <w:rFonts w:ascii="Arial" w:hAnsi="Arial" w:cs="Arial"/>
                <w:sz w:val="20"/>
                <w:szCs w:val="20"/>
              </w:rPr>
              <w:t>2015/16</w:t>
            </w:r>
          </w:p>
        </w:tc>
        <w:tc>
          <w:tcPr>
            <w:tcW w:w="2673" w:type="dxa"/>
          </w:tcPr>
          <w:p w14:paraId="5E5F94AC" w14:textId="3941A7B3" w:rsidR="00E7268E" w:rsidRPr="00E7268E" w:rsidRDefault="00E7268E" w:rsidP="001232B0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E7268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73" w:type="dxa"/>
          </w:tcPr>
          <w:p w14:paraId="13D76A05" w14:textId="7648A208" w:rsidR="00E7268E" w:rsidRPr="00E7268E" w:rsidRDefault="00E7268E" w:rsidP="001232B0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E7268E">
              <w:rPr>
                <w:rFonts w:ascii="Arial" w:hAnsi="Arial" w:cs="Arial"/>
                <w:sz w:val="20"/>
                <w:szCs w:val="20"/>
              </w:rPr>
              <w:t>$4,682,831.60</w:t>
            </w:r>
          </w:p>
        </w:tc>
      </w:tr>
      <w:tr w:rsidR="00E7268E" w14:paraId="2B36A6BC" w14:textId="77777777" w:rsidTr="001232B0">
        <w:tc>
          <w:tcPr>
            <w:tcW w:w="2674" w:type="dxa"/>
          </w:tcPr>
          <w:p w14:paraId="24D808BC" w14:textId="5A089D26" w:rsidR="00E7268E" w:rsidRPr="00E7268E" w:rsidRDefault="00E7268E" w:rsidP="001232B0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E7268E">
              <w:rPr>
                <w:rFonts w:ascii="Arial" w:hAnsi="Arial" w:cs="Arial"/>
                <w:sz w:val="20"/>
                <w:szCs w:val="20"/>
              </w:rPr>
              <w:t>2016/17</w:t>
            </w:r>
          </w:p>
        </w:tc>
        <w:tc>
          <w:tcPr>
            <w:tcW w:w="2673" w:type="dxa"/>
          </w:tcPr>
          <w:p w14:paraId="0ED3D8A3" w14:textId="26CB5326" w:rsidR="00E7268E" w:rsidRPr="00E7268E" w:rsidRDefault="00E7268E" w:rsidP="001232B0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E7268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73" w:type="dxa"/>
          </w:tcPr>
          <w:p w14:paraId="702A8B80" w14:textId="13D827CB" w:rsidR="00E7268E" w:rsidRPr="00E7268E" w:rsidRDefault="00E7268E" w:rsidP="001232B0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E7268E">
              <w:rPr>
                <w:rFonts w:ascii="Arial" w:hAnsi="Arial" w:cs="Arial"/>
                <w:sz w:val="20"/>
                <w:szCs w:val="20"/>
              </w:rPr>
              <w:t>$1,887,872.66</w:t>
            </w:r>
          </w:p>
        </w:tc>
      </w:tr>
      <w:tr w:rsidR="00E7268E" w14:paraId="7685EDBD" w14:textId="77777777" w:rsidTr="001232B0">
        <w:tc>
          <w:tcPr>
            <w:tcW w:w="2674" w:type="dxa"/>
          </w:tcPr>
          <w:p w14:paraId="6AA7503D" w14:textId="1ED4D359" w:rsidR="00E7268E" w:rsidRPr="00E7268E" w:rsidRDefault="00E7268E" w:rsidP="001232B0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E7268E">
              <w:rPr>
                <w:rFonts w:ascii="Arial" w:hAnsi="Arial" w:cs="Arial"/>
                <w:sz w:val="20"/>
                <w:szCs w:val="20"/>
              </w:rPr>
              <w:t>2017/18</w:t>
            </w:r>
          </w:p>
        </w:tc>
        <w:tc>
          <w:tcPr>
            <w:tcW w:w="2673" w:type="dxa"/>
          </w:tcPr>
          <w:p w14:paraId="2FBE1B1D" w14:textId="2CA96111" w:rsidR="00E7268E" w:rsidRPr="00E7268E" w:rsidRDefault="00E7268E" w:rsidP="001232B0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E7268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73" w:type="dxa"/>
          </w:tcPr>
          <w:p w14:paraId="2B22F10B" w14:textId="1C55E438" w:rsidR="00E7268E" w:rsidRPr="00E7268E" w:rsidRDefault="00E7268E" w:rsidP="001232B0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E7268E">
              <w:rPr>
                <w:rFonts w:ascii="Arial" w:hAnsi="Arial" w:cs="Arial"/>
                <w:sz w:val="20"/>
                <w:szCs w:val="20"/>
              </w:rPr>
              <w:t>$2,251,476.91</w:t>
            </w:r>
          </w:p>
        </w:tc>
      </w:tr>
      <w:tr w:rsidR="00BA3215" w14:paraId="2052C29D" w14:textId="77777777" w:rsidTr="001232B0">
        <w:tc>
          <w:tcPr>
            <w:tcW w:w="2674" w:type="dxa"/>
          </w:tcPr>
          <w:p w14:paraId="341A7F9B" w14:textId="27B9D806" w:rsidR="00BA3215" w:rsidRPr="00E7268E" w:rsidRDefault="00BA3215" w:rsidP="001232B0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2018/19</w:t>
            </w:r>
          </w:p>
        </w:tc>
        <w:tc>
          <w:tcPr>
            <w:tcW w:w="2673" w:type="dxa"/>
          </w:tcPr>
          <w:p w14:paraId="779E3ABE" w14:textId="63CE0C73" w:rsidR="00BA3215" w:rsidRPr="00E7268E" w:rsidRDefault="00BA3215" w:rsidP="001232B0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73" w:type="dxa"/>
          </w:tcPr>
          <w:p w14:paraId="0C407846" w14:textId="43721B06" w:rsidR="00BA3215" w:rsidRPr="00E7268E" w:rsidRDefault="00BA3215" w:rsidP="001232B0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BA321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A3215">
              <w:rPr>
                <w:rFonts w:ascii="Arial" w:hAnsi="Arial" w:cs="Arial"/>
                <w:sz w:val="20"/>
                <w:szCs w:val="20"/>
              </w:rPr>
              <w:t>142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A3215">
              <w:rPr>
                <w:rFonts w:ascii="Arial" w:hAnsi="Arial" w:cs="Arial"/>
                <w:sz w:val="20"/>
                <w:szCs w:val="20"/>
              </w:rPr>
              <w:t>458.05</w:t>
            </w:r>
          </w:p>
        </w:tc>
      </w:tr>
      <w:tr w:rsidR="00E7268E" w14:paraId="18382B2B" w14:textId="77777777" w:rsidTr="001232B0">
        <w:tc>
          <w:tcPr>
            <w:tcW w:w="2674" w:type="dxa"/>
          </w:tcPr>
          <w:p w14:paraId="0AFE5516" w14:textId="5F88200F" w:rsidR="00E7268E" w:rsidRPr="001232B0" w:rsidRDefault="00E7268E" w:rsidP="001232B0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 w:rsidRPr="001232B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673" w:type="dxa"/>
          </w:tcPr>
          <w:p w14:paraId="5A12F659" w14:textId="4F01562C" w:rsidR="00E7268E" w:rsidRPr="001232B0" w:rsidRDefault="002E0FD9" w:rsidP="001232B0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2673" w:type="dxa"/>
          </w:tcPr>
          <w:p w14:paraId="24818781" w14:textId="6FCD6451" w:rsidR="00E7268E" w:rsidRPr="001232B0" w:rsidRDefault="00BA3215" w:rsidP="001232B0">
            <w:pPr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$14,252,639.77</w:t>
            </w:r>
          </w:p>
        </w:tc>
      </w:tr>
    </w:tbl>
    <w:p w14:paraId="0F6BAD1B" w14:textId="77777777" w:rsidR="00E7268E" w:rsidRDefault="00E7268E" w:rsidP="00F81F9B">
      <w:pPr>
        <w:spacing w:after="200" w:line="276" w:lineRule="auto"/>
        <w:rPr>
          <w:rFonts w:ascii="Arial" w:hAnsi="Arial" w:cs="Arial"/>
        </w:rPr>
      </w:pPr>
    </w:p>
    <w:p w14:paraId="298BC708" w14:textId="1C46575C" w:rsidR="00F81F9B" w:rsidRPr="00A13094" w:rsidRDefault="00BA3215" w:rsidP="00F81F9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Solicitation for the </w:t>
      </w:r>
      <w:r w:rsidR="009C64C6">
        <w:rPr>
          <w:rFonts w:ascii="Arial" w:hAnsi="Arial" w:cs="Arial"/>
        </w:rPr>
        <w:t>2019</w:t>
      </w:r>
      <w:r>
        <w:rPr>
          <w:rFonts w:ascii="Arial" w:hAnsi="Arial" w:cs="Arial"/>
        </w:rPr>
        <w:t>/2020</w:t>
      </w:r>
      <w:r w:rsidR="009C64C6">
        <w:rPr>
          <w:rFonts w:ascii="Arial" w:hAnsi="Arial" w:cs="Arial"/>
        </w:rPr>
        <w:t xml:space="preserve"> grant cycle </w:t>
      </w:r>
      <w:r w:rsidR="00B70277">
        <w:rPr>
          <w:rFonts w:ascii="Arial" w:hAnsi="Arial" w:cs="Arial"/>
        </w:rPr>
        <w:t xml:space="preserve">will </w:t>
      </w:r>
      <w:r w:rsidR="009C64C6">
        <w:rPr>
          <w:rFonts w:ascii="Arial" w:hAnsi="Arial" w:cs="Arial"/>
        </w:rPr>
        <w:t>begin in</w:t>
      </w:r>
      <w:r w:rsidR="00F81F9B">
        <w:rPr>
          <w:rFonts w:ascii="Arial" w:hAnsi="Arial" w:cs="Arial"/>
        </w:rPr>
        <w:t xml:space="preserve"> early </w:t>
      </w:r>
      <w:r>
        <w:rPr>
          <w:rFonts w:ascii="Arial" w:hAnsi="Arial" w:cs="Arial"/>
        </w:rPr>
        <w:t>2020</w:t>
      </w:r>
      <w:r w:rsidR="00154D1D">
        <w:rPr>
          <w:rFonts w:ascii="Arial" w:hAnsi="Arial" w:cs="Arial"/>
        </w:rPr>
        <w:t xml:space="preserve"> </w:t>
      </w:r>
      <w:r w:rsidR="00F81F9B">
        <w:rPr>
          <w:rFonts w:ascii="Arial" w:hAnsi="Arial" w:cs="Arial"/>
        </w:rPr>
        <w:t xml:space="preserve">with </w:t>
      </w:r>
      <w:r w:rsidR="00A13094" w:rsidRPr="00A13094">
        <w:rPr>
          <w:rFonts w:ascii="Arial" w:hAnsi="Arial" w:cs="Arial"/>
        </w:rPr>
        <w:t xml:space="preserve">$3.75 million </w:t>
      </w:r>
      <w:r>
        <w:rPr>
          <w:rFonts w:ascii="Arial" w:hAnsi="Arial" w:cs="Arial"/>
        </w:rPr>
        <w:t>(pending availability)</w:t>
      </w:r>
      <w:r w:rsidR="00F81F9B">
        <w:rPr>
          <w:rFonts w:ascii="Arial" w:hAnsi="Arial" w:cs="Arial"/>
        </w:rPr>
        <w:t xml:space="preserve">.  </w:t>
      </w:r>
      <w:r w:rsidR="00A13094" w:rsidRPr="00A13094">
        <w:rPr>
          <w:rFonts w:ascii="Arial" w:hAnsi="Arial" w:cs="Arial"/>
        </w:rPr>
        <w:t xml:space="preserve">Up to $200,000 per </w:t>
      </w:r>
      <w:r w:rsidR="005802AE">
        <w:rPr>
          <w:rFonts w:ascii="Arial" w:hAnsi="Arial" w:cs="Arial"/>
        </w:rPr>
        <w:t>approved applicant</w:t>
      </w:r>
      <w:r w:rsidR="00A13094" w:rsidRPr="00A13094">
        <w:rPr>
          <w:rFonts w:ascii="Arial" w:hAnsi="Arial" w:cs="Arial"/>
        </w:rPr>
        <w:t xml:space="preserve"> </w:t>
      </w:r>
      <w:r w:rsidR="005802AE">
        <w:rPr>
          <w:rFonts w:ascii="Arial" w:hAnsi="Arial" w:cs="Arial"/>
        </w:rPr>
        <w:t>will be</w:t>
      </w:r>
      <w:r w:rsidR="00A13094" w:rsidRPr="00A13094">
        <w:rPr>
          <w:rFonts w:ascii="Arial" w:hAnsi="Arial" w:cs="Arial"/>
        </w:rPr>
        <w:t xml:space="preserve"> </w:t>
      </w:r>
      <w:r w:rsidR="005802AE">
        <w:rPr>
          <w:rFonts w:ascii="Arial" w:hAnsi="Arial" w:cs="Arial"/>
        </w:rPr>
        <w:t>available</w:t>
      </w:r>
      <w:r w:rsidR="00A13094" w:rsidRPr="00A13094">
        <w:rPr>
          <w:rFonts w:ascii="Arial" w:hAnsi="Arial" w:cs="Arial"/>
        </w:rPr>
        <w:t xml:space="preserve"> </w:t>
      </w:r>
      <w:r w:rsidR="005802AE">
        <w:rPr>
          <w:rFonts w:ascii="Arial" w:hAnsi="Arial" w:cs="Arial"/>
        </w:rPr>
        <w:t>for</w:t>
      </w:r>
      <w:r w:rsidR="00566952">
        <w:rPr>
          <w:rFonts w:ascii="Arial" w:hAnsi="Arial" w:cs="Arial"/>
        </w:rPr>
        <w:t xml:space="preserve"> Tier 1 Projects, which are for the initial </w:t>
      </w:r>
      <w:r w:rsidR="005802AE">
        <w:rPr>
          <w:rFonts w:ascii="Arial" w:hAnsi="Arial" w:cs="Arial"/>
        </w:rPr>
        <w:t>development of</w:t>
      </w:r>
      <w:r w:rsidR="00A13094" w:rsidRPr="00A13094">
        <w:rPr>
          <w:rFonts w:ascii="Arial" w:hAnsi="Arial" w:cs="Arial"/>
        </w:rPr>
        <w:t xml:space="preserve"> </w:t>
      </w:r>
      <w:r w:rsidR="00566952">
        <w:rPr>
          <w:rFonts w:ascii="Arial" w:hAnsi="Arial" w:cs="Arial"/>
        </w:rPr>
        <w:t>or revisions to existing Prevention P</w:t>
      </w:r>
      <w:r w:rsidR="00A13094" w:rsidRPr="00A13094">
        <w:rPr>
          <w:rFonts w:ascii="Arial" w:hAnsi="Arial" w:cs="Arial"/>
        </w:rPr>
        <w:t>lan</w:t>
      </w:r>
      <w:r w:rsidR="00566952">
        <w:rPr>
          <w:rFonts w:ascii="Arial" w:hAnsi="Arial" w:cs="Arial"/>
        </w:rPr>
        <w:t>s;</w:t>
      </w:r>
      <w:r w:rsidR="005802AE">
        <w:rPr>
          <w:rFonts w:ascii="Arial" w:hAnsi="Arial" w:cs="Arial"/>
        </w:rPr>
        <w:t xml:space="preserve"> and u</w:t>
      </w:r>
      <w:r w:rsidR="00A13094" w:rsidRPr="00A13094">
        <w:rPr>
          <w:rFonts w:ascii="Arial" w:hAnsi="Arial" w:cs="Arial"/>
        </w:rPr>
        <w:t xml:space="preserve">p to $400,000 per </w:t>
      </w:r>
      <w:r w:rsidR="005802AE">
        <w:rPr>
          <w:rFonts w:ascii="Arial" w:hAnsi="Arial" w:cs="Arial"/>
        </w:rPr>
        <w:t xml:space="preserve">approved applicant </w:t>
      </w:r>
      <w:r w:rsidR="00566952">
        <w:rPr>
          <w:rFonts w:ascii="Arial" w:hAnsi="Arial" w:cs="Arial"/>
        </w:rPr>
        <w:t>will be available for Tier 2 Implementation P</w:t>
      </w:r>
      <w:r w:rsidR="00A13094" w:rsidRPr="00A13094">
        <w:rPr>
          <w:rFonts w:ascii="Arial" w:hAnsi="Arial" w:cs="Arial"/>
        </w:rPr>
        <w:t>rojects.</w:t>
      </w:r>
      <w:r w:rsidR="00E85F4F">
        <w:rPr>
          <w:rFonts w:ascii="Arial" w:hAnsi="Arial" w:cs="Arial"/>
        </w:rPr>
        <w:t xml:space="preserve">  Information on the </w:t>
      </w:r>
      <w:r w:rsidR="00566952">
        <w:rPr>
          <w:rFonts w:ascii="Arial" w:hAnsi="Arial" w:cs="Arial"/>
        </w:rPr>
        <w:br/>
      </w:r>
      <w:r w:rsidR="00E85F4F">
        <w:rPr>
          <w:rFonts w:ascii="Arial" w:hAnsi="Arial" w:cs="Arial"/>
        </w:rPr>
        <w:t>QZ Grant Program, including a link to sign-up for the QZ Grant notifications, is available at:</w:t>
      </w:r>
      <w:r w:rsidR="00566952">
        <w:rPr>
          <w:rFonts w:ascii="Arial" w:hAnsi="Arial" w:cs="Arial"/>
        </w:rPr>
        <w:t xml:space="preserve"> </w:t>
      </w:r>
      <w:hyperlink r:id="rId8" w:history="1">
        <w:r w:rsidR="00E85F4F" w:rsidRPr="00E85F4F">
          <w:rPr>
            <w:rFonts w:ascii="Arial" w:hAnsi="Arial" w:cs="Arial"/>
          </w:rPr>
          <w:t>www.dbw.ca.gov/QZGrant</w:t>
        </w:r>
      </w:hyperlink>
      <w:bookmarkStart w:id="0" w:name="_GoBack"/>
      <w:bookmarkEnd w:id="0"/>
    </w:p>
    <w:p w14:paraId="2A80A2D8" w14:textId="3F4026F0" w:rsidR="00D13533" w:rsidRDefault="00D13533" w:rsidP="0015570A">
      <w:pPr>
        <w:rPr>
          <w:rFonts w:ascii="Arial" w:hAnsi="Arial" w:cs="Arial"/>
          <w:i/>
        </w:rPr>
      </w:pPr>
      <w:r w:rsidRPr="005368A2">
        <w:rPr>
          <w:rFonts w:ascii="Arial" w:hAnsi="Arial" w:cs="Arial"/>
          <w:i/>
        </w:rPr>
        <w:t xml:space="preserve">The </w:t>
      </w:r>
      <w:r w:rsidR="005368A2">
        <w:rPr>
          <w:rFonts w:ascii="Arial" w:hAnsi="Arial" w:cs="Arial"/>
          <w:i/>
        </w:rPr>
        <w:t>Q</w:t>
      </w:r>
      <w:r w:rsidR="004560D3" w:rsidRPr="005368A2">
        <w:rPr>
          <w:rFonts w:ascii="Arial" w:hAnsi="Arial" w:cs="Arial"/>
          <w:i/>
        </w:rPr>
        <w:t xml:space="preserve">uagga and </w:t>
      </w:r>
      <w:r w:rsidR="005368A2">
        <w:rPr>
          <w:rFonts w:ascii="Arial" w:hAnsi="Arial" w:cs="Arial"/>
          <w:i/>
        </w:rPr>
        <w:t>Z</w:t>
      </w:r>
      <w:r w:rsidR="004560D3" w:rsidRPr="005368A2">
        <w:rPr>
          <w:rFonts w:ascii="Arial" w:hAnsi="Arial" w:cs="Arial"/>
          <w:i/>
        </w:rPr>
        <w:t xml:space="preserve">ebra </w:t>
      </w:r>
      <w:r w:rsidR="005368A2">
        <w:rPr>
          <w:rFonts w:ascii="Arial" w:hAnsi="Arial" w:cs="Arial"/>
          <w:i/>
        </w:rPr>
        <w:t>M</w:t>
      </w:r>
      <w:r w:rsidR="004560D3" w:rsidRPr="005368A2">
        <w:rPr>
          <w:rFonts w:ascii="Arial" w:hAnsi="Arial" w:cs="Arial"/>
          <w:i/>
        </w:rPr>
        <w:t xml:space="preserve">ussel </w:t>
      </w:r>
      <w:r w:rsidR="005368A2">
        <w:rPr>
          <w:rFonts w:ascii="Arial" w:hAnsi="Arial" w:cs="Arial"/>
          <w:i/>
        </w:rPr>
        <w:t>I</w:t>
      </w:r>
      <w:r w:rsidR="004560D3" w:rsidRPr="005368A2">
        <w:rPr>
          <w:rFonts w:ascii="Arial" w:hAnsi="Arial" w:cs="Arial"/>
          <w:i/>
        </w:rPr>
        <w:t xml:space="preserve">nfestation </w:t>
      </w:r>
      <w:r w:rsidR="005368A2">
        <w:rPr>
          <w:rFonts w:ascii="Arial" w:hAnsi="Arial" w:cs="Arial"/>
          <w:i/>
        </w:rPr>
        <w:t>P</w:t>
      </w:r>
      <w:r w:rsidR="004560D3" w:rsidRPr="005368A2">
        <w:rPr>
          <w:rFonts w:ascii="Arial" w:hAnsi="Arial" w:cs="Arial"/>
          <w:i/>
        </w:rPr>
        <w:t xml:space="preserve">revention </w:t>
      </w:r>
      <w:r w:rsidR="005368A2">
        <w:rPr>
          <w:rFonts w:ascii="Arial" w:hAnsi="Arial" w:cs="Arial"/>
          <w:i/>
        </w:rPr>
        <w:t>G</w:t>
      </w:r>
      <w:r w:rsidR="004560D3" w:rsidRPr="005368A2">
        <w:rPr>
          <w:rFonts w:ascii="Arial" w:hAnsi="Arial" w:cs="Arial"/>
          <w:i/>
        </w:rPr>
        <w:t xml:space="preserve">rant </w:t>
      </w:r>
      <w:r w:rsidR="005368A2">
        <w:rPr>
          <w:rFonts w:ascii="Arial" w:hAnsi="Arial" w:cs="Arial"/>
          <w:i/>
        </w:rPr>
        <w:t>P</w:t>
      </w:r>
      <w:r w:rsidRPr="005368A2">
        <w:rPr>
          <w:rFonts w:ascii="Arial" w:hAnsi="Arial" w:cs="Arial"/>
          <w:i/>
        </w:rPr>
        <w:t>rogram objectives are:</w:t>
      </w:r>
    </w:p>
    <w:p w14:paraId="779E3946" w14:textId="77777777" w:rsidR="007B51E8" w:rsidRPr="005368A2" w:rsidRDefault="007B51E8" w:rsidP="0015570A">
      <w:pPr>
        <w:rPr>
          <w:rFonts w:ascii="Arial" w:hAnsi="Arial" w:cs="Arial"/>
          <w:i/>
        </w:rPr>
      </w:pPr>
    </w:p>
    <w:p w14:paraId="642444F4" w14:textId="08E8D2EB" w:rsidR="007B51E8" w:rsidRDefault="007B51E8" w:rsidP="007B51E8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To provide grant funding </w:t>
      </w:r>
      <w:r w:rsidRPr="00E77ADD">
        <w:rPr>
          <w:rFonts w:ascii="Arial" w:hAnsi="Arial" w:cs="Arial"/>
        </w:rPr>
        <w:t xml:space="preserve">for prevention </w:t>
      </w:r>
      <w:r>
        <w:rPr>
          <w:rFonts w:ascii="Arial" w:hAnsi="Arial" w:cs="Arial"/>
        </w:rPr>
        <w:t>plans and implementation projects initiated by</w:t>
      </w:r>
      <w:r w:rsidRPr="00E77ADD">
        <w:rPr>
          <w:rFonts w:ascii="Arial" w:hAnsi="Arial" w:cs="Arial"/>
        </w:rPr>
        <w:t xml:space="preserve"> eligible entities that own or manage </w:t>
      </w:r>
      <w:r>
        <w:rPr>
          <w:rFonts w:ascii="Arial" w:hAnsi="Arial" w:cs="Arial"/>
        </w:rPr>
        <w:t>un</w:t>
      </w:r>
      <w:r w:rsidR="005A35A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infested </w:t>
      </w:r>
      <w:r w:rsidRPr="00E77ADD">
        <w:rPr>
          <w:rFonts w:ascii="Arial" w:hAnsi="Arial" w:cs="Arial"/>
        </w:rPr>
        <w:t>reservoirs, which</w:t>
      </w:r>
      <w:r>
        <w:rPr>
          <w:rFonts w:ascii="Arial" w:hAnsi="Arial" w:cs="Arial"/>
        </w:rPr>
        <w:t xml:space="preserve"> are </w:t>
      </w:r>
      <w:r w:rsidRPr="00E77ADD">
        <w:rPr>
          <w:rFonts w:ascii="Arial" w:hAnsi="Arial" w:cs="Arial"/>
        </w:rPr>
        <w:t>open to the public</w:t>
      </w:r>
      <w:r w:rsidR="002C7B32">
        <w:rPr>
          <w:rFonts w:ascii="Arial" w:hAnsi="Arial" w:cs="Arial"/>
        </w:rPr>
        <w:t xml:space="preserve"> for recreational use</w:t>
      </w:r>
      <w:r>
        <w:rPr>
          <w:rFonts w:ascii="Arial" w:hAnsi="Arial" w:cs="Arial"/>
        </w:rPr>
        <w:t>;</w:t>
      </w:r>
    </w:p>
    <w:p w14:paraId="2CFFE64B" w14:textId="5C2A4E52" w:rsidR="005368A2" w:rsidRPr="002C7B32" w:rsidRDefault="005368A2" w:rsidP="002C7B32">
      <w:pPr>
        <w:rPr>
          <w:rFonts w:ascii="Arial" w:hAnsi="Arial" w:cs="Arial"/>
        </w:rPr>
      </w:pPr>
    </w:p>
    <w:p w14:paraId="763D5179" w14:textId="35303AFB" w:rsidR="007B51E8" w:rsidRDefault="005368A2" w:rsidP="002C7B32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To prevent the spread of quagga and </w:t>
      </w:r>
      <w:r w:rsidR="00D13533">
        <w:rPr>
          <w:rFonts w:ascii="Arial" w:hAnsi="Arial" w:cs="Arial"/>
        </w:rPr>
        <w:t>zebra mussel into other California and neighboring state waterways</w:t>
      </w:r>
      <w:r w:rsidR="004560D3">
        <w:rPr>
          <w:rFonts w:ascii="Arial" w:hAnsi="Arial" w:cs="Arial"/>
        </w:rPr>
        <w:t xml:space="preserve"> through a regional-scale prevention </w:t>
      </w:r>
      <w:r w:rsidR="00430A61">
        <w:rPr>
          <w:rFonts w:ascii="Arial" w:hAnsi="Arial" w:cs="Arial"/>
        </w:rPr>
        <w:t>effort</w:t>
      </w:r>
      <w:r w:rsidR="00D13533">
        <w:rPr>
          <w:rFonts w:ascii="Arial" w:hAnsi="Arial" w:cs="Arial"/>
        </w:rPr>
        <w:t>;</w:t>
      </w:r>
      <w:r w:rsidR="00F81F9B">
        <w:rPr>
          <w:rFonts w:ascii="Arial" w:hAnsi="Arial" w:cs="Arial"/>
        </w:rPr>
        <w:t xml:space="preserve"> and</w:t>
      </w:r>
    </w:p>
    <w:p w14:paraId="7032A5D5" w14:textId="5CCBB471" w:rsidR="00D13533" w:rsidRDefault="00D13533" w:rsidP="002C7B32">
      <w:pPr>
        <w:pStyle w:val="ListParagraph"/>
        <w:ind w:left="360"/>
        <w:rPr>
          <w:rFonts w:ascii="Arial" w:hAnsi="Arial" w:cs="Arial"/>
        </w:rPr>
      </w:pPr>
    </w:p>
    <w:p w14:paraId="44AE2F9D" w14:textId="0DD64DA3" w:rsidR="007B51E8" w:rsidRDefault="007B51E8" w:rsidP="007B51E8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To educate boaters about environmentally sound boating practices such as Clean, Drain and Dry.</w:t>
      </w:r>
    </w:p>
    <w:p w14:paraId="5240C70F" w14:textId="25E66BFE" w:rsidR="00163CB3" w:rsidRPr="00B50BC2" w:rsidRDefault="00163CB3" w:rsidP="00B50BC2">
      <w:pPr>
        <w:rPr>
          <w:rFonts w:ascii="Arial" w:hAnsi="Arial" w:cs="Arial"/>
        </w:rPr>
      </w:pPr>
    </w:p>
    <w:p w14:paraId="622488F0" w14:textId="08B68106" w:rsidR="00B2338A" w:rsidRPr="00E77ADD" w:rsidRDefault="0015570A" w:rsidP="00A2308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DBW and </w:t>
      </w:r>
      <w:r w:rsidR="00F81F9B">
        <w:rPr>
          <w:rFonts w:ascii="Arial" w:hAnsi="Arial" w:cs="Arial"/>
        </w:rPr>
        <w:t>CDFW</w:t>
      </w:r>
      <w:r>
        <w:rPr>
          <w:rFonts w:ascii="Arial" w:hAnsi="Arial" w:cs="Arial"/>
        </w:rPr>
        <w:t xml:space="preserve"> are working cooperatively and collaboratively </w:t>
      </w:r>
      <w:r w:rsidR="00D13533">
        <w:rPr>
          <w:rFonts w:ascii="Arial" w:hAnsi="Arial" w:cs="Arial"/>
        </w:rPr>
        <w:t>with the California’s Quagga/Zebra Mussel Interagency Taskforce, other departments and stakeholders</w:t>
      </w:r>
      <w:r>
        <w:rPr>
          <w:rFonts w:ascii="Arial" w:hAnsi="Arial" w:cs="Arial"/>
        </w:rPr>
        <w:t>,</w:t>
      </w:r>
      <w:r w:rsidR="00D13533">
        <w:rPr>
          <w:rFonts w:ascii="Arial" w:hAnsi="Arial" w:cs="Arial"/>
        </w:rPr>
        <w:t xml:space="preserve"> such as local and bordering law enforcement, </w:t>
      </w:r>
      <w:r w:rsidR="009C64C6">
        <w:rPr>
          <w:rFonts w:ascii="Arial" w:hAnsi="Arial" w:cs="Arial"/>
        </w:rPr>
        <w:t xml:space="preserve">boating associations </w:t>
      </w:r>
      <w:r w:rsidR="00D13533">
        <w:rPr>
          <w:rFonts w:ascii="Arial" w:hAnsi="Arial" w:cs="Arial"/>
        </w:rPr>
        <w:t>and marina owners.</w:t>
      </w:r>
      <w:r w:rsidR="009C64C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DBW is </w:t>
      </w:r>
      <w:r w:rsidR="00A658DF">
        <w:rPr>
          <w:rFonts w:ascii="Arial" w:hAnsi="Arial" w:cs="Arial"/>
        </w:rPr>
        <w:t xml:space="preserve">in the process of </w:t>
      </w:r>
      <w:r w:rsidR="00625B10">
        <w:rPr>
          <w:rFonts w:ascii="Arial" w:hAnsi="Arial" w:cs="Arial"/>
        </w:rPr>
        <w:t xml:space="preserve">refining procedures and protocols and improving coordination </w:t>
      </w:r>
      <w:r>
        <w:rPr>
          <w:rFonts w:ascii="Arial" w:hAnsi="Arial" w:cs="Arial"/>
        </w:rPr>
        <w:t xml:space="preserve">with </w:t>
      </w:r>
      <w:r w:rsidR="00F81F9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DFW to establish mutual goals, objectives, and deliverables </w:t>
      </w:r>
      <w:r w:rsidR="003F7FB1">
        <w:rPr>
          <w:rFonts w:ascii="Arial" w:hAnsi="Arial" w:cs="Arial"/>
        </w:rPr>
        <w:t xml:space="preserve">to further demonstrate effective metrics, </w:t>
      </w:r>
      <w:r w:rsidR="00625B10">
        <w:rPr>
          <w:rFonts w:ascii="Arial" w:hAnsi="Arial" w:cs="Arial"/>
        </w:rPr>
        <w:t xml:space="preserve">and </w:t>
      </w:r>
      <w:r w:rsidR="003F7FB1">
        <w:rPr>
          <w:rFonts w:ascii="Arial" w:hAnsi="Arial" w:cs="Arial"/>
        </w:rPr>
        <w:t>accountability for the use of Harbors and Watercraft Revolving Funds.</w:t>
      </w:r>
    </w:p>
    <w:sectPr w:rsidR="00B2338A" w:rsidRPr="00E77ADD" w:rsidSect="005B40EB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6E6AD" w14:textId="77777777" w:rsidR="008321D8" w:rsidRDefault="008321D8" w:rsidP="0015570A">
      <w:r>
        <w:separator/>
      </w:r>
    </w:p>
  </w:endnote>
  <w:endnote w:type="continuationSeparator" w:id="0">
    <w:p w14:paraId="0E4FBBD2" w14:textId="77777777" w:rsidR="008321D8" w:rsidRDefault="008321D8" w:rsidP="0015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8126C" w14:textId="77777777" w:rsidR="008321D8" w:rsidRDefault="008321D8" w:rsidP="0015570A">
      <w:r>
        <w:separator/>
      </w:r>
    </w:p>
  </w:footnote>
  <w:footnote w:type="continuationSeparator" w:id="0">
    <w:p w14:paraId="2DA000DA" w14:textId="77777777" w:rsidR="008321D8" w:rsidRDefault="008321D8" w:rsidP="0015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523EB"/>
    <w:multiLevelType w:val="hybridMultilevel"/>
    <w:tmpl w:val="71A6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33"/>
    <w:rsid w:val="000F712E"/>
    <w:rsid w:val="001232B0"/>
    <w:rsid w:val="00154D1D"/>
    <w:rsid w:val="0015570A"/>
    <w:rsid w:val="00163CB3"/>
    <w:rsid w:val="001A0FCB"/>
    <w:rsid w:val="001A76E0"/>
    <w:rsid w:val="001B2277"/>
    <w:rsid w:val="00241115"/>
    <w:rsid w:val="00276694"/>
    <w:rsid w:val="002B46D4"/>
    <w:rsid w:val="002C7B32"/>
    <w:rsid w:val="002E0FD9"/>
    <w:rsid w:val="00315584"/>
    <w:rsid w:val="00322697"/>
    <w:rsid w:val="003308EA"/>
    <w:rsid w:val="0036088F"/>
    <w:rsid w:val="003D4172"/>
    <w:rsid w:val="003F7FB1"/>
    <w:rsid w:val="00423BB8"/>
    <w:rsid w:val="004309E3"/>
    <w:rsid w:val="00430A61"/>
    <w:rsid w:val="00454131"/>
    <w:rsid w:val="004560D3"/>
    <w:rsid w:val="004722DF"/>
    <w:rsid w:val="0048281D"/>
    <w:rsid w:val="004B49E0"/>
    <w:rsid w:val="004C1782"/>
    <w:rsid w:val="004D64D0"/>
    <w:rsid w:val="005368A2"/>
    <w:rsid w:val="00566952"/>
    <w:rsid w:val="005802AE"/>
    <w:rsid w:val="005A35A9"/>
    <w:rsid w:val="005B40EB"/>
    <w:rsid w:val="005C29F9"/>
    <w:rsid w:val="005E3943"/>
    <w:rsid w:val="00625B10"/>
    <w:rsid w:val="006774CD"/>
    <w:rsid w:val="006B6CE2"/>
    <w:rsid w:val="006C16F2"/>
    <w:rsid w:val="006E6456"/>
    <w:rsid w:val="00750E8D"/>
    <w:rsid w:val="00754929"/>
    <w:rsid w:val="007615EF"/>
    <w:rsid w:val="00794F8D"/>
    <w:rsid w:val="007B51E8"/>
    <w:rsid w:val="0080390C"/>
    <w:rsid w:val="008321D8"/>
    <w:rsid w:val="0083249F"/>
    <w:rsid w:val="00833EE7"/>
    <w:rsid w:val="008521F1"/>
    <w:rsid w:val="00857C7E"/>
    <w:rsid w:val="008C39AC"/>
    <w:rsid w:val="00925CA3"/>
    <w:rsid w:val="0093456C"/>
    <w:rsid w:val="009612A5"/>
    <w:rsid w:val="00963EEE"/>
    <w:rsid w:val="00986D18"/>
    <w:rsid w:val="009B734A"/>
    <w:rsid w:val="009C64C6"/>
    <w:rsid w:val="009E08DB"/>
    <w:rsid w:val="009E4F60"/>
    <w:rsid w:val="00A050B3"/>
    <w:rsid w:val="00A13094"/>
    <w:rsid w:val="00A23086"/>
    <w:rsid w:val="00A36EE5"/>
    <w:rsid w:val="00A50CB2"/>
    <w:rsid w:val="00A658DF"/>
    <w:rsid w:val="00AE1AD4"/>
    <w:rsid w:val="00B2338A"/>
    <w:rsid w:val="00B30EDB"/>
    <w:rsid w:val="00B42A26"/>
    <w:rsid w:val="00B50BC2"/>
    <w:rsid w:val="00B70277"/>
    <w:rsid w:val="00BA3215"/>
    <w:rsid w:val="00BC60DF"/>
    <w:rsid w:val="00C35A7C"/>
    <w:rsid w:val="00CA3483"/>
    <w:rsid w:val="00D13533"/>
    <w:rsid w:val="00D56E4F"/>
    <w:rsid w:val="00D7397B"/>
    <w:rsid w:val="00DA5F62"/>
    <w:rsid w:val="00E17576"/>
    <w:rsid w:val="00E27C03"/>
    <w:rsid w:val="00E3142D"/>
    <w:rsid w:val="00E31F59"/>
    <w:rsid w:val="00E32D83"/>
    <w:rsid w:val="00E36E0F"/>
    <w:rsid w:val="00E720E5"/>
    <w:rsid w:val="00E7268E"/>
    <w:rsid w:val="00E77ADD"/>
    <w:rsid w:val="00E85F4F"/>
    <w:rsid w:val="00EA6385"/>
    <w:rsid w:val="00EB746E"/>
    <w:rsid w:val="00ED7144"/>
    <w:rsid w:val="00F0038C"/>
    <w:rsid w:val="00F81F9B"/>
    <w:rsid w:val="00F95667"/>
    <w:rsid w:val="00FE397E"/>
    <w:rsid w:val="00FF3FF9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CDE6"/>
  <w15:docId w15:val="{540E21AC-41D8-4A59-9DEF-7DC213FF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5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533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57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570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570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30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ED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ED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85F4F"/>
    <w:rPr>
      <w:color w:val="0563C1"/>
      <w:u w:val="single"/>
    </w:rPr>
  </w:style>
  <w:style w:type="table" w:styleId="TableGrid">
    <w:name w:val="Table Grid"/>
    <w:basedOn w:val="TableNormal"/>
    <w:uiPriority w:val="59"/>
    <w:rsid w:val="00E7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w.ca.gov/QZGra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EFDE-E5A6-4AE7-8031-BDDF93EF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Turgeon, Robin@Parks</dc:creator>
  <cp:lastModifiedBy>Roderick, Cara@Parks</cp:lastModifiedBy>
  <cp:revision>4</cp:revision>
  <cp:lastPrinted>2017-11-15T20:18:00Z</cp:lastPrinted>
  <dcterms:created xsi:type="dcterms:W3CDTF">2020-01-24T22:54:00Z</dcterms:created>
  <dcterms:modified xsi:type="dcterms:W3CDTF">2020-01-25T00:27:00Z</dcterms:modified>
</cp:coreProperties>
</file>